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543FE" w14:textId="77777777" w:rsidR="005E49BB" w:rsidRDefault="00000000">
      <w:pPr>
        <w:spacing w:after="20"/>
        <w:jc w:val="center"/>
      </w:pPr>
      <w:r>
        <w:rPr>
          <w:rFonts w:ascii="Aptos Display" w:hAnsi="Aptos Display"/>
          <w:b/>
          <w:color w:val="1F3145"/>
          <w:sz w:val="36"/>
        </w:rPr>
        <w:t>From Exposure to Competency</w:t>
      </w:r>
    </w:p>
    <w:p w14:paraId="433E1654" w14:textId="77777777" w:rsidR="005E49BB" w:rsidRDefault="00000000">
      <w:pPr>
        <w:spacing w:after="120"/>
        <w:jc w:val="center"/>
      </w:pPr>
      <w:r>
        <w:rPr>
          <w:i/>
          <w:sz w:val="20"/>
        </w:rPr>
        <w:t>A Practical Framework for Culinary Lab Assessment</w:t>
      </w:r>
    </w:p>
    <w:p w14:paraId="3FEB710D" w14:textId="77777777" w:rsidR="005E49BB" w:rsidRDefault="00000000">
      <w:r>
        <w:rPr>
          <w:b/>
        </w:rPr>
        <w:t xml:space="preserve">The central idea: </w:t>
      </w:r>
      <w:r>
        <w:t>Culinary assessment should do more than produce a grade. It should help students understand the standard, demonstrate performance, receive useful feedback, practice intentionally, and improve.</w:t>
      </w:r>
    </w:p>
    <w:p w14:paraId="465CE613" w14:textId="77777777" w:rsidR="005E49BB" w:rsidRDefault="00000000">
      <w:pPr>
        <w:spacing w:before="100" w:after="40"/>
      </w:pPr>
      <w:r>
        <w:rPr>
          <w:b/>
          <w:color w:val="1F3145"/>
          <w:sz w:val="21"/>
        </w:rPr>
        <w:t>LEARNING OUTCOMES FOR EDUCATORS</w:t>
      </w:r>
    </w:p>
    <w:p w14:paraId="74F34562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Distinguish between exposure to a culinary skill and developing competency in a foundational skill.</w:t>
      </w:r>
    </w:p>
    <w:p w14:paraId="33B9C2AE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Define observable standards before assessing student performance.</w:t>
      </w:r>
    </w:p>
    <w:p w14:paraId="786E4D46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Assess both the student's work process and the finished product.</w:t>
      </w:r>
    </w:p>
    <w:p w14:paraId="3A975BE2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Connect culinary theory to what students actually observe and produce in the lab.</w:t>
      </w:r>
    </w:p>
    <w:p w14:paraId="5BACC4D7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Provide feedback that tells students what to maintain and what to change.</w:t>
      </w:r>
    </w:p>
    <w:p w14:paraId="0E0860D9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Use repetition and reassessment to measure learning, improvement, competency, and consistency.</w:t>
      </w:r>
    </w:p>
    <w:p w14:paraId="72781828" w14:textId="77777777" w:rsidR="005E49BB" w:rsidRDefault="00000000">
      <w:pPr>
        <w:spacing w:before="100" w:after="40"/>
      </w:pPr>
      <w:r>
        <w:rPr>
          <w:b/>
          <w:color w:val="1F3145"/>
          <w:sz w:val="21"/>
        </w:rPr>
        <w:t>THE LEARNING CYCLE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61"/>
        <w:gridCol w:w="1761"/>
        <w:gridCol w:w="1762"/>
        <w:gridCol w:w="1762"/>
        <w:gridCol w:w="1762"/>
        <w:gridCol w:w="1762"/>
      </w:tblGrid>
      <w:tr w:rsidR="005E49BB" w14:paraId="05AB330B" w14:textId="77777777">
        <w:trPr>
          <w:jc w:val="center"/>
        </w:trPr>
        <w:tc>
          <w:tcPr>
            <w:tcW w:w="1762" w:type="dxa"/>
            <w:shd w:val="clear" w:color="auto" w:fill="17365D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0443A0A2" w14:textId="77777777" w:rsidR="005E49BB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STANDARD</w:t>
            </w:r>
          </w:p>
        </w:tc>
        <w:tc>
          <w:tcPr>
            <w:tcW w:w="1762" w:type="dxa"/>
            <w:shd w:val="clear" w:color="auto" w:fill="17365D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3176221F" w14:textId="77777777" w:rsidR="005E49BB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PERFORMANCE</w:t>
            </w:r>
          </w:p>
        </w:tc>
        <w:tc>
          <w:tcPr>
            <w:tcW w:w="1762" w:type="dxa"/>
            <w:shd w:val="clear" w:color="auto" w:fill="17365D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1C07CCBD" w14:textId="77777777" w:rsidR="005E49BB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ASSESSMENT</w:t>
            </w:r>
          </w:p>
        </w:tc>
        <w:tc>
          <w:tcPr>
            <w:tcW w:w="1762" w:type="dxa"/>
            <w:shd w:val="clear" w:color="auto" w:fill="17365D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72464174" w14:textId="77777777" w:rsidR="005E49BB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FEEDBACK</w:t>
            </w:r>
          </w:p>
        </w:tc>
        <w:tc>
          <w:tcPr>
            <w:tcW w:w="1762" w:type="dxa"/>
            <w:shd w:val="clear" w:color="auto" w:fill="17365D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0C49F455" w14:textId="77777777" w:rsidR="005E49BB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PRACTICE</w:t>
            </w:r>
          </w:p>
        </w:tc>
        <w:tc>
          <w:tcPr>
            <w:tcW w:w="1762" w:type="dxa"/>
            <w:shd w:val="clear" w:color="auto" w:fill="17365D"/>
            <w:tcMar>
              <w:top w:w="55" w:type="dxa"/>
              <w:left w:w="25" w:type="dxa"/>
              <w:bottom w:w="55" w:type="dxa"/>
              <w:right w:w="25" w:type="dxa"/>
            </w:tcMar>
          </w:tcPr>
          <w:p w14:paraId="0C2F17A8" w14:textId="77777777" w:rsidR="005E49BB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IMPROVEMENT</w:t>
            </w:r>
          </w:p>
        </w:tc>
      </w:tr>
    </w:tbl>
    <w:p w14:paraId="13D1EA84" w14:textId="77777777" w:rsidR="005E49BB" w:rsidRDefault="00000000">
      <w:pPr>
        <w:jc w:val="center"/>
      </w:pPr>
      <w:r>
        <w:rPr>
          <w:b/>
        </w:rPr>
        <w:t>Repeat the cycle to move toward COMPETENCY → CONSISTENCY</w:t>
      </w:r>
    </w:p>
    <w:p w14:paraId="771E824C" w14:textId="77777777" w:rsidR="005E49BB" w:rsidRDefault="00000000">
      <w:pPr>
        <w:spacing w:before="100" w:after="40"/>
      </w:pPr>
      <w:r>
        <w:rPr>
          <w:b/>
          <w:color w:val="1F3145"/>
          <w:sz w:val="21"/>
        </w:rPr>
        <w:t>EXPOSURE VS. FOUNDATIONAL COMPETENCY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80"/>
        <w:gridCol w:w="5280"/>
      </w:tblGrid>
      <w:tr w:rsidR="005E49BB" w14:paraId="5BD0DBCC" w14:textId="77777777">
        <w:trPr>
          <w:jc w:val="center"/>
        </w:trPr>
        <w:tc>
          <w:tcPr>
            <w:tcW w:w="5285" w:type="dxa"/>
            <w:shd w:val="clear" w:color="auto" w:fill="D9E2F3"/>
          </w:tcPr>
          <w:p w14:paraId="68798E39" w14:textId="77777777" w:rsidR="005E49BB" w:rsidRDefault="00000000">
            <w:pPr>
              <w:jc w:val="center"/>
            </w:pPr>
            <w:r>
              <w:rPr>
                <w:b/>
              </w:rPr>
              <w:t>EXPOSURE</w:t>
            </w:r>
          </w:p>
        </w:tc>
        <w:tc>
          <w:tcPr>
            <w:tcW w:w="5285" w:type="dxa"/>
            <w:shd w:val="clear" w:color="auto" w:fill="D9E2F3"/>
          </w:tcPr>
          <w:p w14:paraId="1A522136" w14:textId="77777777" w:rsidR="005E49BB" w:rsidRDefault="00000000">
            <w:pPr>
              <w:jc w:val="center"/>
            </w:pPr>
            <w:r>
              <w:rPr>
                <w:b/>
              </w:rPr>
              <w:t>FOUNDATIONAL COMPETENCY</w:t>
            </w:r>
          </w:p>
        </w:tc>
      </w:tr>
      <w:tr w:rsidR="005E49BB" w14:paraId="2CC24966" w14:textId="77777777">
        <w:trPr>
          <w:jc w:val="center"/>
        </w:trPr>
        <w:tc>
          <w:tcPr>
            <w:tcW w:w="5285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8D1060" w14:textId="77777777" w:rsidR="005E49BB" w:rsidRDefault="00000000">
            <w:r>
              <w:t>Introduces a technique or broadens culinary knowledge.</w:t>
            </w:r>
          </w:p>
        </w:tc>
        <w:tc>
          <w:tcPr>
            <w:tcW w:w="5285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CBA28F7" w14:textId="77777777" w:rsidR="005E49BB" w:rsidRDefault="00000000">
            <w:r>
              <w:t>Builds skills a cook must use repeatedly.</w:t>
            </w:r>
          </w:p>
        </w:tc>
      </w:tr>
      <w:tr w:rsidR="005E49BB" w14:paraId="4C937B36" w14:textId="77777777">
        <w:trPr>
          <w:jc w:val="center"/>
        </w:trPr>
        <w:tc>
          <w:tcPr>
            <w:tcW w:w="5285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869457" w14:textId="77777777" w:rsidR="005E49BB" w:rsidRDefault="00000000">
            <w:r>
              <w:t>A student may perform the skill once or only occasionally.</w:t>
            </w:r>
          </w:p>
        </w:tc>
        <w:tc>
          <w:tcPr>
            <w:tcW w:w="5285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F58F9E" w14:textId="77777777" w:rsidR="005E49BB" w:rsidRDefault="00000000">
            <w:r>
              <w:t>Requires multiple opportunities to perform, receive feedback, and improve.</w:t>
            </w:r>
          </w:p>
        </w:tc>
      </w:tr>
      <w:tr w:rsidR="005E49BB" w14:paraId="53B5596D" w14:textId="77777777">
        <w:trPr>
          <w:jc w:val="center"/>
        </w:trPr>
        <w:tc>
          <w:tcPr>
            <w:tcW w:w="5285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0EAA626" w14:textId="77777777" w:rsidR="005E49BB" w:rsidRDefault="00000000">
            <w:r>
              <w:t>Completion demonstrates experience with the skill.</w:t>
            </w:r>
          </w:p>
        </w:tc>
        <w:tc>
          <w:tcPr>
            <w:tcW w:w="5285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F4F059" w14:textId="77777777" w:rsidR="005E49BB" w:rsidRDefault="00000000">
            <w:r>
              <w:t>Competency requires performance against a defined standard; consistency requires repeated success.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5E49BB" w14:paraId="4F505143" w14:textId="77777777">
        <w:trPr>
          <w:jc w:val="center"/>
        </w:trPr>
        <w:tc>
          <w:tcPr>
            <w:tcW w:w="10570" w:type="dxa"/>
            <w:shd w:val="clear" w:color="auto" w:fill="D9E2F3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F34954B" w14:textId="77777777" w:rsidR="005E49BB" w:rsidRDefault="00000000">
            <w:pPr>
              <w:jc w:val="center"/>
            </w:pPr>
            <w:r>
              <w:rPr>
                <w:b/>
                <w:i/>
                <w:color w:val="1F3145"/>
                <w:sz w:val="20"/>
              </w:rPr>
              <w:t>Some skills broaden a student's culinary knowledge. Foundational skills build a cook.</w:t>
            </w:r>
          </w:p>
        </w:tc>
      </w:tr>
    </w:tbl>
    <w:p w14:paraId="574A4A49" w14:textId="77777777" w:rsidR="005E49BB" w:rsidRDefault="00000000">
      <w:pPr>
        <w:spacing w:before="100" w:after="40"/>
      </w:pPr>
      <w:r>
        <w:rPr>
          <w:b/>
          <w:color w:val="1F3145"/>
          <w:sz w:val="21"/>
        </w:rPr>
        <w:t>DEFINE THE TARGET BEFORE YOU ASSESS IT</w:t>
      </w:r>
    </w:p>
    <w:p w14:paraId="5810AF48" w14:textId="77777777" w:rsidR="005E49BB" w:rsidRDefault="00000000">
      <w:r>
        <w:rPr>
          <w:b/>
        </w:rPr>
        <w:t xml:space="preserve">Students cannot hit a target they cannot see. </w:t>
      </w:r>
      <w:r>
        <w:t>A direction such as “make a good omelette” is subjective until “good” has been translated into observable standards.</w:t>
      </w:r>
    </w:p>
    <w:p w14:paraId="1321320E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Define what successful performance and a successful finished product look like.</w:t>
      </w:r>
    </w:p>
    <w:p w14:paraId="7B89EED7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Demonstrate the technique and the finished standard before assessment.</w:t>
      </w:r>
    </w:p>
    <w:p w14:paraId="759CB14D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Make the written criteria and the demonstration tell the student the same story.</w:t>
      </w:r>
    </w:p>
    <w:p w14:paraId="174AD947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Use observable language: color, texture, doneness, shape, accuracy, yield, sanitation, organization, timing, and technique.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5E49BB" w14:paraId="5BBD2D04" w14:textId="77777777">
        <w:trPr>
          <w:jc w:val="center"/>
        </w:trPr>
        <w:tc>
          <w:tcPr>
            <w:tcW w:w="10570" w:type="dxa"/>
            <w:shd w:val="clear" w:color="auto" w:fill="D9E2F3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2D7E277A" w14:textId="77777777" w:rsidR="005E49BB" w:rsidRDefault="00000000">
            <w:pPr>
              <w:jc w:val="center"/>
            </w:pPr>
            <w:r>
              <w:rPr>
                <w:b/>
                <w:i/>
                <w:color w:val="1F3145"/>
                <w:sz w:val="20"/>
              </w:rPr>
              <w:t>The demonstration and the rubric should be telling the student the same story.</w:t>
            </w:r>
          </w:p>
        </w:tc>
      </w:tr>
    </w:tbl>
    <w:p w14:paraId="0374C70D" w14:textId="77777777" w:rsidR="005E49BB" w:rsidRDefault="00000000">
      <w:r>
        <w:br w:type="page"/>
      </w:r>
    </w:p>
    <w:p w14:paraId="3204F3F9" w14:textId="77777777" w:rsidR="005E49BB" w:rsidRDefault="00000000">
      <w:pPr>
        <w:spacing w:after="20"/>
        <w:jc w:val="center"/>
      </w:pPr>
      <w:r>
        <w:rPr>
          <w:rFonts w:ascii="Aptos Display" w:hAnsi="Aptos Display"/>
          <w:b/>
          <w:color w:val="1F3145"/>
          <w:sz w:val="36"/>
        </w:rPr>
        <w:lastRenderedPageBreak/>
        <w:t>Assessment That Supports Learning</w:t>
      </w:r>
    </w:p>
    <w:p w14:paraId="03105E6B" w14:textId="77777777" w:rsidR="005E49BB" w:rsidRDefault="00000000">
      <w:pPr>
        <w:spacing w:after="120"/>
        <w:jc w:val="center"/>
      </w:pPr>
      <w:r>
        <w:rPr>
          <w:i/>
          <w:sz w:val="20"/>
        </w:rPr>
        <w:t>Process • Product • Understanding • Improvement</w:t>
      </w:r>
    </w:p>
    <w:p w14:paraId="2602E2E0" w14:textId="77777777" w:rsidR="005E49BB" w:rsidRDefault="00000000">
      <w:pPr>
        <w:spacing w:before="100" w:after="40"/>
      </w:pPr>
      <w:r>
        <w:rPr>
          <w:b/>
          <w:color w:val="1F3145"/>
          <w:sz w:val="21"/>
        </w:rPr>
        <w:t>ASSESS THE PROCESS AND THE PRODUCT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80"/>
        <w:gridCol w:w="5280"/>
      </w:tblGrid>
      <w:tr w:rsidR="005E49BB" w14:paraId="2AF4D90E" w14:textId="77777777">
        <w:trPr>
          <w:jc w:val="center"/>
        </w:trPr>
        <w:tc>
          <w:tcPr>
            <w:tcW w:w="5285" w:type="dxa"/>
            <w:shd w:val="clear" w:color="auto" w:fill="D9E2F3"/>
          </w:tcPr>
          <w:p w14:paraId="57C6611A" w14:textId="77777777" w:rsidR="005E49BB" w:rsidRDefault="00000000">
            <w:pPr>
              <w:jc w:val="center"/>
            </w:pPr>
            <w:r>
              <w:rPr>
                <w:b/>
              </w:rPr>
              <w:t>PROCESS / PERFORMANCE</w:t>
            </w:r>
          </w:p>
        </w:tc>
        <w:tc>
          <w:tcPr>
            <w:tcW w:w="5285" w:type="dxa"/>
            <w:shd w:val="clear" w:color="auto" w:fill="D9E2F3"/>
          </w:tcPr>
          <w:p w14:paraId="7087F5FD" w14:textId="77777777" w:rsidR="005E49BB" w:rsidRDefault="00000000">
            <w:pPr>
              <w:jc w:val="center"/>
            </w:pPr>
            <w:r>
              <w:rPr>
                <w:b/>
              </w:rPr>
              <w:t>FINISHED PRODUCT</w:t>
            </w:r>
          </w:p>
        </w:tc>
      </w:tr>
      <w:tr w:rsidR="005E49BB" w14:paraId="6B40CE14" w14:textId="77777777">
        <w:trPr>
          <w:jc w:val="center"/>
        </w:trPr>
        <w:tc>
          <w:tcPr>
            <w:tcW w:w="528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E37C887" w14:textId="77777777" w:rsidR="005E49BB" w:rsidRDefault="00000000">
            <w:r>
              <w:t>Mise en place • organization • sequencing • technique • heat control • sanitation/safety • time management • resource use • problem-solving</w:t>
            </w:r>
          </w:p>
        </w:tc>
        <w:tc>
          <w:tcPr>
            <w:tcW w:w="528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D149FBD" w14:textId="77777777" w:rsidR="005E49BB" w:rsidRDefault="00000000">
            <w:r>
              <w:t>Appearance • color • texture • doneness • shape • seasoning • consistency • presentation • conformance to the standard</w:t>
            </w:r>
          </w:p>
        </w:tc>
      </w:tr>
    </w:tbl>
    <w:p w14:paraId="302ECCDA" w14:textId="77777777" w:rsidR="005E49BB" w:rsidRDefault="00000000">
      <w:r>
        <w:rPr>
          <w:b/>
        </w:rPr>
        <w:t xml:space="preserve">Why both matter: </w:t>
      </w:r>
      <w:r>
        <w:t>The finished plate tells us what the student produced. Watching the student work tells us how the student produced it.</w:t>
      </w:r>
    </w:p>
    <w:p w14:paraId="0E759D24" w14:textId="77777777" w:rsidR="005E49BB" w:rsidRDefault="00000000">
      <w:pPr>
        <w:spacing w:before="100" w:after="40"/>
      </w:pPr>
      <w:r>
        <w:rPr>
          <w:b/>
          <w:color w:val="1F3145"/>
          <w:sz w:val="21"/>
        </w:rPr>
        <w:t>USE THE PRODUCT TO CONNECT LAB AND THEORY</w:t>
      </w:r>
    </w:p>
    <w:p w14:paraId="511A2EAA" w14:textId="77777777" w:rsidR="005E49BB" w:rsidRDefault="00000000">
      <w:r>
        <w:t>After a practical, use the product as evidence and ask four simple questions: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9"/>
        <w:gridCol w:w="3520"/>
        <w:gridCol w:w="3521"/>
      </w:tblGrid>
      <w:tr w:rsidR="005E49BB" w14:paraId="2ADD0F47" w14:textId="77777777">
        <w:trPr>
          <w:jc w:val="center"/>
        </w:trPr>
        <w:tc>
          <w:tcPr>
            <w:tcW w:w="3523" w:type="dxa"/>
            <w:shd w:val="clear" w:color="auto" w:fill="17365D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47D1F9F" w14:textId="77777777" w:rsidR="005E49BB" w:rsidRDefault="00000000"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352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F331E3B" w14:textId="77777777" w:rsidR="005E49BB" w:rsidRDefault="00000000">
            <w:r>
              <w:rPr>
                <w:b/>
              </w:rPr>
              <w:t>What happened?</w:t>
            </w:r>
          </w:p>
        </w:tc>
        <w:tc>
          <w:tcPr>
            <w:tcW w:w="352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71BA6DB" w14:textId="77777777" w:rsidR="005E49BB" w:rsidRDefault="00000000">
            <w:r>
              <w:t>Observation</w:t>
            </w:r>
          </w:p>
        </w:tc>
      </w:tr>
      <w:tr w:rsidR="005E49BB" w14:paraId="064C7CAB" w14:textId="77777777">
        <w:trPr>
          <w:jc w:val="center"/>
        </w:trPr>
        <w:tc>
          <w:tcPr>
            <w:tcW w:w="3523" w:type="dxa"/>
            <w:shd w:val="clear" w:color="auto" w:fill="17365D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D9FE9F6" w14:textId="77777777" w:rsidR="005E49BB" w:rsidRDefault="00000000"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352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ADF7408" w14:textId="77777777" w:rsidR="005E49BB" w:rsidRDefault="00000000">
            <w:r>
              <w:rPr>
                <w:b/>
              </w:rPr>
              <w:t>Why did it happen?</w:t>
            </w:r>
          </w:p>
        </w:tc>
        <w:tc>
          <w:tcPr>
            <w:tcW w:w="352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97345DF" w14:textId="77777777" w:rsidR="005E49BB" w:rsidRDefault="00000000">
            <w:r>
              <w:t>Understanding</w:t>
            </w:r>
          </w:p>
        </w:tc>
      </w:tr>
      <w:tr w:rsidR="005E49BB" w14:paraId="7CE4E4D0" w14:textId="77777777">
        <w:trPr>
          <w:jc w:val="center"/>
        </w:trPr>
        <w:tc>
          <w:tcPr>
            <w:tcW w:w="3523" w:type="dxa"/>
            <w:shd w:val="clear" w:color="auto" w:fill="17365D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F575AE0" w14:textId="77777777" w:rsidR="005E49BB" w:rsidRDefault="00000000"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352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15462A68" w14:textId="77777777" w:rsidR="005E49BB" w:rsidRDefault="00000000">
            <w:r>
              <w:rPr>
                <w:b/>
              </w:rPr>
              <w:t>What should have happened?</w:t>
            </w:r>
          </w:p>
        </w:tc>
        <w:tc>
          <w:tcPr>
            <w:tcW w:w="352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FD581E4" w14:textId="77777777" w:rsidR="005E49BB" w:rsidRDefault="00000000">
            <w:r>
              <w:t>Knowledge of the standard</w:t>
            </w:r>
          </w:p>
        </w:tc>
      </w:tr>
      <w:tr w:rsidR="005E49BB" w14:paraId="57428DAC" w14:textId="77777777">
        <w:trPr>
          <w:jc w:val="center"/>
        </w:trPr>
        <w:tc>
          <w:tcPr>
            <w:tcW w:w="3523" w:type="dxa"/>
            <w:shd w:val="clear" w:color="auto" w:fill="17365D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742AE95C" w14:textId="77777777" w:rsidR="005E49BB" w:rsidRDefault="00000000"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352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D475A8B" w14:textId="77777777" w:rsidR="005E49BB" w:rsidRDefault="00000000">
            <w:r>
              <w:rPr>
                <w:b/>
              </w:rPr>
              <w:t>What will you change next time?</w:t>
            </w:r>
          </w:p>
        </w:tc>
        <w:tc>
          <w:tcPr>
            <w:tcW w:w="3523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25696488" w14:textId="77777777" w:rsidR="005E49BB" w:rsidRDefault="00000000">
            <w:r>
              <w:t>Application</w:t>
            </w:r>
          </w:p>
        </w:tc>
      </w:tr>
    </w:tbl>
    <w:p w14:paraId="2F41D847" w14:textId="77777777" w:rsidR="005E49BB" w:rsidRDefault="00000000">
      <w:pPr>
        <w:jc w:val="center"/>
      </w:pPr>
      <w:r>
        <w:rPr>
          <w:b/>
          <w:sz w:val="20"/>
        </w:rPr>
        <w:t>Know it → Do it → Explain it → Correct it</w:t>
      </w:r>
    </w:p>
    <w:p w14:paraId="0C12D8A3" w14:textId="77777777" w:rsidR="005E49BB" w:rsidRDefault="00000000">
      <w:pPr>
        <w:spacing w:before="100" w:after="40"/>
      </w:pPr>
      <w:r>
        <w:rPr>
          <w:b/>
          <w:color w:val="1F3145"/>
          <w:sz w:val="21"/>
        </w:rPr>
        <w:t>FEEDBACK SHOULD CHANGE THE NEXT PERFORMANCE</w:t>
      </w:r>
    </w:p>
    <w:p w14:paraId="4A0DAB92" w14:textId="77777777" w:rsidR="005E49BB" w:rsidRDefault="00000000">
      <w:r>
        <w:rPr>
          <w:b/>
        </w:rPr>
        <w:t xml:space="preserve">A score evaluates performance; actionable feedback supports improvement. </w:t>
      </w:r>
      <w:r>
        <w:t>Students should leave feedback knowing what they did well, what needs attention, and what they will intentionally change next time.</w:t>
      </w:r>
    </w:p>
    <w:p w14:paraId="097BEF63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Be specific: identify the observable behavior or product characteristic.</w:t>
      </w:r>
    </w:p>
    <w:p w14:paraId="729B594A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Prioritize the highest-value corrections rather than overwhelming the student.</w:t>
      </w:r>
    </w:p>
    <w:p w14:paraId="4CBD7227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Reinforce what should be maintained as well as what should change.</w:t>
      </w:r>
    </w:p>
    <w:p w14:paraId="1AD12F31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Whenever possible, provide another opportunity to apply the feedback.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5E49BB" w14:paraId="7B98E873" w14:textId="77777777">
        <w:trPr>
          <w:jc w:val="center"/>
        </w:trPr>
        <w:tc>
          <w:tcPr>
            <w:tcW w:w="10570" w:type="dxa"/>
            <w:shd w:val="clear" w:color="auto" w:fill="D9E2F3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660C294A" w14:textId="77777777" w:rsidR="005E49BB" w:rsidRDefault="00000000">
            <w:pPr>
              <w:jc w:val="center"/>
            </w:pPr>
            <w:r>
              <w:rPr>
                <w:b/>
                <w:i/>
                <w:color w:val="1F3145"/>
                <w:sz w:val="20"/>
              </w:rPr>
              <w:t>Attempt #1 tells me where the student is. Attempt #2 tells me what the student learned.</w:t>
            </w:r>
          </w:p>
        </w:tc>
      </w:tr>
    </w:tbl>
    <w:p w14:paraId="341A8B8C" w14:textId="77777777" w:rsidR="005E49BB" w:rsidRDefault="00000000">
      <w:pPr>
        <w:spacing w:before="100" w:after="40"/>
      </w:pPr>
      <w:r>
        <w:rPr>
          <w:b/>
          <w:color w:val="1F3145"/>
          <w:sz w:val="21"/>
        </w:rPr>
        <w:t>REPETITION WITH PURPOSE</w:t>
      </w:r>
    </w:p>
    <w:p w14:paraId="796858CA" w14:textId="77777777" w:rsidR="005E49BB" w:rsidRDefault="00000000">
      <w:r>
        <w:rPr>
          <w:b/>
        </w:rPr>
        <w:t xml:space="preserve">Repetition is not simply “do it again.” </w:t>
      </w:r>
      <w:r>
        <w:t>The second attempt should have a purpose based on assessment and feedback.</w:t>
      </w:r>
    </w:p>
    <w:p w14:paraId="332342E8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Improvement may mean greater accuracy, better quality, less waste, safer technique, better organization, improved timing, or greater consistency.</w:t>
      </w:r>
    </w:p>
    <w:p w14:paraId="6ACA8C21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Faster is not always better. Better is better.</w:t>
      </w:r>
    </w:p>
    <w:p w14:paraId="776EC39F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Improvement does not automatically equal mastery; it provides evidence that learning is occurring.</w:t>
      </w:r>
    </w:p>
    <w:p w14:paraId="6F53B1DB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Repeated successful performance against the same standard builds competency and, eventually, consistency.</w:t>
      </w:r>
    </w:p>
    <w:p w14:paraId="78DB0B93" w14:textId="77777777" w:rsidR="005E49BB" w:rsidRDefault="00000000">
      <w:pPr>
        <w:ind w:left="202" w:hanging="173"/>
      </w:pPr>
      <w:r>
        <w:rPr>
          <w:b/>
        </w:rPr>
        <w:t xml:space="preserve">• </w:t>
      </w:r>
      <w:r>
        <w:t>Confidence grows when students can see evidence that practice changed their performance.</w:t>
      </w:r>
    </w:p>
    <w:p w14:paraId="065811B3" w14:textId="77777777" w:rsidR="005E49BB" w:rsidRDefault="00000000">
      <w:pPr>
        <w:spacing w:before="100" w:after="40"/>
      </w:pPr>
      <w:r>
        <w:rPr>
          <w:b/>
          <w:color w:val="1F3145"/>
          <w:sz w:val="21"/>
        </w:rPr>
        <w:t>ONE QUESTION TO TAKE BACK TO YOUR CLASSROOM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5E49BB" w14:paraId="032F4344" w14:textId="77777777">
        <w:trPr>
          <w:jc w:val="center"/>
        </w:trPr>
        <w:tc>
          <w:tcPr>
            <w:tcW w:w="10570" w:type="dxa"/>
            <w:shd w:val="clear" w:color="auto" w:fill="D9E2F3"/>
            <w:tcMar>
              <w:top w:w="65" w:type="dxa"/>
              <w:left w:w="80" w:type="dxa"/>
              <w:bottom w:w="65" w:type="dxa"/>
              <w:right w:w="80" w:type="dxa"/>
            </w:tcMar>
          </w:tcPr>
          <w:p w14:paraId="7BABA6E9" w14:textId="77777777" w:rsidR="005E49BB" w:rsidRDefault="00000000">
            <w:pPr>
              <w:jc w:val="center"/>
            </w:pPr>
            <w:r>
              <w:rPr>
                <w:b/>
                <w:i/>
                <w:color w:val="1F3145"/>
                <w:sz w:val="20"/>
              </w:rPr>
              <w:t>Think about one foundational skill you teach. How many opportunities do students actually have to perform it after the first time you teach it?</w:t>
            </w:r>
          </w:p>
        </w:tc>
      </w:tr>
    </w:tbl>
    <w:p w14:paraId="47343CAD" w14:textId="77777777" w:rsidR="005E49BB" w:rsidRDefault="00000000">
      <w:pPr>
        <w:jc w:val="center"/>
      </w:pPr>
      <w:r>
        <w:rPr>
          <w:b/>
          <w:color w:val="1F3145"/>
          <w:sz w:val="22"/>
        </w:rPr>
        <w:t>Are we assessing competency — or are we assessing exposure?</w:t>
      </w:r>
    </w:p>
    <w:sectPr w:rsidR="005E49BB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6449799">
    <w:abstractNumId w:val="8"/>
  </w:num>
  <w:num w:numId="2" w16cid:durableId="42023184">
    <w:abstractNumId w:val="6"/>
  </w:num>
  <w:num w:numId="3" w16cid:durableId="1935480220">
    <w:abstractNumId w:val="5"/>
  </w:num>
  <w:num w:numId="4" w16cid:durableId="672535296">
    <w:abstractNumId w:val="4"/>
  </w:num>
  <w:num w:numId="5" w16cid:durableId="1113943601">
    <w:abstractNumId w:val="7"/>
  </w:num>
  <w:num w:numId="6" w16cid:durableId="322122924">
    <w:abstractNumId w:val="3"/>
  </w:num>
  <w:num w:numId="7" w16cid:durableId="2002079310">
    <w:abstractNumId w:val="2"/>
  </w:num>
  <w:num w:numId="8" w16cid:durableId="1825270371">
    <w:abstractNumId w:val="1"/>
  </w:num>
  <w:num w:numId="9" w16cid:durableId="502550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4ACD"/>
    <w:rsid w:val="00326F90"/>
    <w:rsid w:val="005E49BB"/>
    <w:rsid w:val="008B55A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AFE2FF"/>
  <w14:defaultImageDpi w14:val="300"/>
  <w15:docId w15:val="{6FCB41D2-7B98-4660-A417-2938334C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Kugelmann</cp:lastModifiedBy>
  <cp:revision>2</cp:revision>
  <dcterms:created xsi:type="dcterms:W3CDTF">2026-09-20T13:54:00Z</dcterms:created>
  <dcterms:modified xsi:type="dcterms:W3CDTF">2026-09-20T13:54:00Z</dcterms:modified>
  <cp:category/>
</cp:coreProperties>
</file>